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DC" w:rsidRPr="00963D98" w:rsidRDefault="009D11DC" w:rsidP="0060059F">
      <w:pPr>
        <w:jc w:val="center"/>
        <w:rPr>
          <w:rFonts w:ascii="Arial" w:hAnsi="Arial" w:cs="Arial"/>
          <w:b/>
        </w:rPr>
      </w:pPr>
      <w:r w:rsidRPr="00963D98">
        <w:rPr>
          <w:rFonts w:ascii="Arial" w:hAnsi="Arial" w:cs="Arial"/>
          <w:b/>
        </w:rPr>
        <w:t>КРЕДИТНЫЙ ПОТРЕБИТЕЛЬСКИЙ КООПЕРАТИВ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 xml:space="preserve">Кредитный потребительский кооператив (КПК) – это объединение граждан и (или) юридических лиц для взаимной финансовой помощи. Для этого КПК ведет организационно-хозяйственную деятельность, но не предпринимательскую (являясь некоммерческой организацией, КПК создается не для извлечения прибыли), а для удовлетворения материальных потребностей его членов (пайщиков). 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>КПК действует наподобие кассы взаимопомощи. Привлекая деньги пайщиков, кооператив предоставляет их в виде займов другим членам кооператива. КПК не вправе предоставлять займы гражданам и организациям, не являющимся членами кооператива, не может осуществлять торговую и производственную деятельность, операции с ценными бумагами (кроме государственных и муниципальных ценных бумаг, закладных).</w:t>
      </w:r>
    </w:p>
    <w:p w:rsidR="009D11DC" w:rsidRPr="002A22F9" w:rsidRDefault="009D11DC" w:rsidP="0060059F">
      <w:pPr>
        <w:spacing w:after="0" w:line="312" w:lineRule="auto"/>
        <w:ind w:firstLine="709"/>
        <w:jc w:val="both"/>
        <w:rPr>
          <w:rStyle w:val="Hyperlink"/>
          <w:rFonts w:ascii="Arial" w:hAnsi="Arial" w:cs="Arial"/>
          <w:color w:val="auto"/>
          <w:u w:val="none"/>
        </w:rPr>
      </w:pPr>
      <w:r w:rsidRPr="00963D98">
        <w:rPr>
          <w:rFonts w:ascii="Arial" w:hAnsi="Arial" w:cs="Arial"/>
        </w:rPr>
        <w:t xml:space="preserve">Если гражданин хочет стать пайщиком кредитного кооператива, прежде всего, необходимо проверить, включен ли кооператив в реестр КПК. Он опубликован на сайте Банка </w:t>
      </w:r>
      <w:r w:rsidRPr="002A22F9">
        <w:rPr>
          <w:rFonts w:ascii="Arial" w:hAnsi="Arial" w:cs="Arial"/>
        </w:rPr>
        <w:t>России (</w:t>
      </w:r>
      <w:hyperlink w:history="1">
        <w:r>
          <w:rPr>
            <w:b/>
            <w:bCs/>
          </w:rPr>
          <w:t>Ошибка! Недопустимый объект гиперссылки.</w:t>
        </w:r>
      </w:hyperlink>
      <w:r w:rsidRPr="002A22F9">
        <w:rPr>
          <w:rStyle w:val="Hyperlink"/>
          <w:rFonts w:ascii="Arial" w:hAnsi="Arial" w:cs="Arial"/>
          <w:color w:val="auto"/>
          <w:u w:val="none"/>
        </w:rPr>
        <w:t xml:space="preserve"> «Финансовые рынки» → «Надзор за участниками финансовых рынков» → «Микрофинансирование и финансовая доступность»).</w:t>
      </w:r>
    </w:p>
    <w:p w:rsidR="009D11DC" w:rsidRPr="002A22F9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2A22F9">
        <w:rPr>
          <w:rFonts w:ascii="Arial" w:hAnsi="Arial" w:cs="Arial"/>
        </w:rPr>
        <w:t>Принимать новых членов и привлекать их сбережения может только кооператив, который включен в реестр Банка России и одновременно является членом саморегулируемой организации (СРО) – объединения таких же кооперативов. Об этом также можно узнать в реестре, который обновляется ежемесячно (</w:t>
      </w:r>
      <w:hyperlink w:history="1">
        <w:r>
          <w:rPr>
            <w:b/>
            <w:bCs/>
          </w:rPr>
          <w:t>Ошибка! Недопустимый объект гиперссылки.</w:t>
        </w:r>
      </w:hyperlink>
      <w:r w:rsidRPr="002A22F9">
        <w:rPr>
          <w:rStyle w:val="Hyperlink"/>
          <w:rFonts w:ascii="Arial" w:hAnsi="Arial" w:cs="Arial"/>
          <w:color w:val="auto"/>
          <w:u w:val="none"/>
        </w:rPr>
        <w:t xml:space="preserve"> «Финансовые рынки» → «Надзор за участниками финансовых рынков» → «Саморегулируемые организации»)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>В случае если кредитный кооператив не входит в СРО, но привлекает средства пайщиков и принимает новых членов, рекомендуется незамедлительно направить информацию об этом в Банк России.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 xml:space="preserve">Следует иметь в виду, что привлечение денежных средств в КПК осуществляется по договору передачи личных сбережений, а не по договору банковского вклада (депозита). Государственная система страхования вкладов в банках на сбережения членов кредитного кооператива не распространяется, и государство не несет ответственности по обязательствам КПК. </w:t>
      </w:r>
    </w:p>
    <w:p w:rsidR="009D11DC" w:rsidRPr="00963D98" w:rsidRDefault="009D11DC" w:rsidP="0060059F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>Каждый, кто вступает в члены КПК и становится его пайщиком, принимает на себя все риски такого решения. Все пайщики КПК солидарно несут субсидиарную ответственность по его убыткам. Это означает, что в случае образования в кооперативе убытков по итогам года пайщики обязаны покрыть их путем внесения дополнительных взносов.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>По состоянию на 01.03.2017 г. на территории Кировской области было зарегистрировано 50 КПК, из них 28 КПК являлись членами СРО. Остальные КПК не являются членами СРО и не осуществляют фактическую деятельность.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 xml:space="preserve">В некоторых случаях КПК используют в своем наименовании схожие словосочетания, которые делают их похожими друг на друга. 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963D98">
        <w:rPr>
          <w:rFonts w:ascii="Arial" w:hAnsi="Arial" w:cs="Arial"/>
        </w:rPr>
        <w:t>бращаем внимание граждан на то, что право на привлечение денежных средств граждан имеют лишь действующие кредитные потребительские кооперативы, являющиеся членами СРО.</w:t>
      </w:r>
      <w:r>
        <w:rPr>
          <w:rFonts w:ascii="Arial" w:hAnsi="Arial" w:cs="Arial"/>
        </w:rPr>
        <w:t xml:space="preserve"> При этом на рынке очень часто появляются фирмы, позиционирующие себя как КПК, а на деле являющиеся финансовыми пирамидами. К </w:t>
      </w:r>
      <w:r w:rsidRPr="005540DF">
        <w:rPr>
          <w:rFonts w:ascii="Arial" w:hAnsi="Arial" w:cs="Arial"/>
        </w:rPr>
        <w:t>сожалению, некоторые граждане по-прежнему ошибочно считают, что от участия в деятельности финансовых пирамид можно получить доход. Это создает потенциальные риски вовлечения людей в данную сферу. Нелегальные участники рынка подрывают доверие к финансовым институтам и тем самым наносят ущерб финансовому рынку в целом. Поэтому Банк России активно участвует в выявлении их деятельности</w:t>
      </w:r>
      <w:r>
        <w:rPr>
          <w:rFonts w:ascii="Arial" w:hAnsi="Arial" w:cs="Arial"/>
        </w:rPr>
        <w:t>, а также предупреждает граждан быть бдительными при обращении в новые финансовые организации, пусть и со знакомыми названиями.</w:t>
      </w:r>
      <w:r w:rsidRPr="00963D98">
        <w:rPr>
          <w:rFonts w:ascii="Arial" w:hAnsi="Arial" w:cs="Arial"/>
        </w:rPr>
        <w:t xml:space="preserve"> </w:t>
      </w:r>
    </w:p>
    <w:p w:rsidR="009D11DC" w:rsidRPr="00963D98" w:rsidRDefault="009D11DC" w:rsidP="0060059F">
      <w:pPr>
        <w:spacing w:after="0" w:line="312" w:lineRule="auto"/>
        <w:ind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 xml:space="preserve">Если возникают сомнения в легальности деятельности организации, рекламирующей себя как кредитный потребительский кооператив и привлекающей деньги граждан, или в ней </w:t>
      </w:r>
      <w:r>
        <w:rPr>
          <w:rFonts w:ascii="Arial" w:hAnsi="Arial" w:cs="Arial"/>
        </w:rPr>
        <w:t>видны</w:t>
      </w:r>
      <w:r w:rsidRPr="00963D98">
        <w:rPr>
          <w:rFonts w:ascii="Arial" w:hAnsi="Arial" w:cs="Arial"/>
        </w:rPr>
        <w:t xml:space="preserve"> признаки финансовой пирамиды, рекомендуе</w:t>
      </w:r>
      <w:r>
        <w:rPr>
          <w:rFonts w:ascii="Arial" w:hAnsi="Arial" w:cs="Arial"/>
        </w:rPr>
        <w:t>м</w:t>
      </w:r>
      <w:r w:rsidRPr="00963D98">
        <w:rPr>
          <w:rFonts w:ascii="Arial" w:hAnsi="Arial" w:cs="Arial"/>
        </w:rPr>
        <w:t xml:space="preserve"> обращаться в Банк России:</w:t>
      </w:r>
    </w:p>
    <w:p w:rsidR="009D11DC" w:rsidRPr="00963D98" w:rsidRDefault="009D11DC" w:rsidP="0060059F">
      <w:pPr>
        <w:pStyle w:val="ListParagraph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Arial" w:hAnsi="Arial" w:cs="Arial"/>
        </w:rPr>
      </w:pPr>
      <w:r w:rsidRPr="00963D98">
        <w:rPr>
          <w:rFonts w:ascii="Arial" w:hAnsi="Arial" w:cs="Arial"/>
        </w:rPr>
        <w:t>через Интернет-приемную на сайте Банка России www.cbr.ru;</w:t>
      </w:r>
    </w:p>
    <w:p w:rsidR="009D11DC" w:rsidRPr="00963D98" w:rsidRDefault="009D11DC" w:rsidP="0060059F">
      <w:pPr>
        <w:pStyle w:val="ListParagraph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Отделение Киров Волго-Вятского ГУ Банка России </w:t>
      </w:r>
      <w:r w:rsidRPr="00963D98">
        <w:rPr>
          <w:rFonts w:ascii="Arial" w:hAnsi="Arial" w:cs="Arial"/>
        </w:rPr>
        <w:t xml:space="preserve">по адресу: </w:t>
      </w:r>
      <w:r>
        <w:rPr>
          <w:rFonts w:ascii="Arial" w:hAnsi="Arial" w:cs="Arial"/>
        </w:rPr>
        <w:t>610000</w:t>
      </w:r>
      <w:r w:rsidRPr="00963D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         </w:t>
      </w:r>
      <w:r w:rsidRPr="00963D98">
        <w:rPr>
          <w:rFonts w:ascii="Arial" w:hAnsi="Arial" w:cs="Arial"/>
        </w:rPr>
        <w:t xml:space="preserve">г. </w:t>
      </w:r>
      <w:r>
        <w:rPr>
          <w:rFonts w:ascii="Arial" w:hAnsi="Arial" w:cs="Arial"/>
        </w:rPr>
        <w:t>Киров</w:t>
      </w:r>
      <w:r w:rsidRPr="00963D98">
        <w:rPr>
          <w:rFonts w:ascii="Arial" w:hAnsi="Arial" w:cs="Arial"/>
        </w:rPr>
        <w:t xml:space="preserve">, ул. </w:t>
      </w:r>
      <w:r>
        <w:rPr>
          <w:rFonts w:ascii="Arial" w:hAnsi="Arial" w:cs="Arial"/>
        </w:rPr>
        <w:t>Спасская</w:t>
      </w:r>
      <w:r w:rsidRPr="00963D98">
        <w:rPr>
          <w:rFonts w:ascii="Arial" w:hAnsi="Arial" w:cs="Arial"/>
        </w:rPr>
        <w:t xml:space="preserve">, д. </w:t>
      </w:r>
      <w:r>
        <w:rPr>
          <w:rFonts w:ascii="Arial" w:hAnsi="Arial" w:cs="Arial"/>
        </w:rPr>
        <w:t>27</w:t>
      </w:r>
      <w:r w:rsidRPr="00963D98">
        <w:rPr>
          <w:rFonts w:ascii="Arial" w:hAnsi="Arial" w:cs="Arial"/>
        </w:rPr>
        <w:t>;</w:t>
      </w:r>
    </w:p>
    <w:p w:rsidR="009D11DC" w:rsidRPr="00963D98" w:rsidRDefault="009D11DC" w:rsidP="0060059F">
      <w:pPr>
        <w:pStyle w:val="ListParagraph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Управление </w:t>
      </w:r>
      <w:r w:rsidRPr="00D86350">
        <w:rPr>
          <w:rFonts w:ascii="Arial" w:hAnsi="Arial" w:cs="Arial"/>
        </w:rPr>
        <w:t>Службы по защите прав потребителей финансовых услуг и миноритарных акционеров</w:t>
      </w:r>
      <w:r>
        <w:rPr>
          <w:rFonts w:ascii="Arial" w:hAnsi="Arial" w:cs="Arial"/>
        </w:rPr>
        <w:t xml:space="preserve"> Банка России в Приволжском федеральном округе</w:t>
      </w:r>
      <w:r w:rsidRPr="00963D98">
        <w:rPr>
          <w:rFonts w:ascii="Arial" w:hAnsi="Arial" w:cs="Arial"/>
        </w:rPr>
        <w:t xml:space="preserve"> по электронной почте</w:t>
      </w:r>
      <w:r>
        <w:rPr>
          <w:rFonts w:ascii="Arial" w:hAnsi="Arial" w:cs="Arial"/>
        </w:rPr>
        <w:t>:</w:t>
      </w:r>
      <w:r w:rsidRPr="00963D98">
        <w:rPr>
          <w:rFonts w:ascii="Arial" w:hAnsi="Arial" w:cs="Arial"/>
        </w:rPr>
        <w:t xml:space="preserve"> </w:t>
      </w:r>
      <w:hyperlink r:id="rId5" w:history="1">
        <w:r w:rsidRPr="00963D98">
          <w:rPr>
            <w:rStyle w:val="Hyperlink"/>
            <w:rFonts w:ascii="Arial" w:hAnsi="Arial" w:cs="Arial"/>
            <w:color w:val="auto"/>
          </w:rPr>
          <w:t>fps@cbr.ru</w:t>
        </w:r>
      </w:hyperlink>
      <w:r w:rsidRPr="00963D98">
        <w:rPr>
          <w:rFonts w:ascii="Arial" w:hAnsi="Arial" w:cs="Arial"/>
        </w:rPr>
        <w:t>.</w:t>
      </w:r>
    </w:p>
    <w:p w:rsidR="009D11DC" w:rsidRDefault="009D11DC"/>
    <w:p w:rsidR="009D11DC" w:rsidRPr="00AB014B" w:rsidRDefault="009D11DC">
      <w:pPr>
        <w:rPr>
          <w:rFonts w:ascii="Times New Roman" w:hAnsi="Times New Roman"/>
          <w:i/>
          <w:sz w:val="24"/>
          <w:szCs w:val="24"/>
        </w:rPr>
      </w:pPr>
      <w:r w:rsidRPr="00AB014B">
        <w:rPr>
          <w:rFonts w:ascii="Times New Roman" w:hAnsi="Times New Roman"/>
          <w:i/>
          <w:sz w:val="24"/>
          <w:szCs w:val="24"/>
        </w:rPr>
        <w:t>Материал подготовлен эксперт</w:t>
      </w:r>
      <w:bookmarkStart w:id="0" w:name="_GoBack"/>
      <w:bookmarkEnd w:id="0"/>
      <w:r w:rsidRPr="00AB014B">
        <w:rPr>
          <w:rFonts w:ascii="Times New Roman" w:hAnsi="Times New Roman"/>
          <w:i/>
          <w:sz w:val="24"/>
          <w:szCs w:val="24"/>
        </w:rPr>
        <w:t>ами Отделения Киров Волго-Вятского ГУ Банка России</w:t>
      </w:r>
    </w:p>
    <w:sectPr w:rsidR="009D11DC" w:rsidRPr="00AB014B" w:rsidSect="002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478C"/>
    <w:multiLevelType w:val="hybridMultilevel"/>
    <w:tmpl w:val="2F2C1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59F"/>
    <w:rsid w:val="00097F23"/>
    <w:rsid w:val="000A6F30"/>
    <w:rsid w:val="00210581"/>
    <w:rsid w:val="00241C88"/>
    <w:rsid w:val="002A22F9"/>
    <w:rsid w:val="00363441"/>
    <w:rsid w:val="00391F08"/>
    <w:rsid w:val="005540DF"/>
    <w:rsid w:val="0060059F"/>
    <w:rsid w:val="00963D98"/>
    <w:rsid w:val="009D11DC"/>
    <w:rsid w:val="00AB014B"/>
    <w:rsid w:val="00D86350"/>
    <w:rsid w:val="00FC0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059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0059F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0059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0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059F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00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0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ps@c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634</Words>
  <Characters>3615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КРЕДИТНЫЙ ПОТРЕБИТЕЛЬСКИЙ КООПЕРАТИВ</dc:title>
  <dc:subject/>
  <dc:creator>Борисова Лидия Ивановна</dc:creator>
  <cp:keywords/>
  <dc:description/>
  <cp:lastModifiedBy>user</cp:lastModifiedBy>
  <cp:revision>2</cp:revision>
  <dcterms:created xsi:type="dcterms:W3CDTF">2017-11-01T10:46:00Z</dcterms:created>
  <dcterms:modified xsi:type="dcterms:W3CDTF">2017-11-01T10:46:00Z</dcterms:modified>
</cp:coreProperties>
</file>